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全国成人高校招生考试关于考生个人（工作人员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本人在现场报名和考试前14天内如实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现场报名或考试过程中如出现咳嗽、发热等身体不适情况，我愿自行放弃报名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或遵守现场工作人员安排到指定区域报名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考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lang w:eastAsia="zh-CN"/>
        </w:rPr>
        <w:t>生</w:t>
      </w:r>
      <w:r>
        <w:rPr>
          <w:rFonts w:hint="eastAsia" w:ascii="仿宋" w:hAnsi="仿宋" w:eastAsia="仿宋"/>
          <w:sz w:val="24"/>
        </w:rPr>
        <w:t>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240" w:lineRule="auto"/>
        <w:ind w:firstLine="48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注：现场报名和考试当天入场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</w:t>
      </w:r>
      <w:r>
        <w:rPr>
          <w:rFonts w:hint="eastAsia" w:ascii="仿宋" w:hAnsi="仿宋" w:eastAsia="仿宋"/>
          <w:sz w:val="24"/>
        </w:rPr>
        <w:t>次一张。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left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58462CED"/>
    <w:rsid w:val="5E7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2020-08-19T09:03:00Z</dcterms:created>
  <dc:creator>GFT</dc:creator>
  <cp:lastModifiedBy>遺莣缘1419936877</cp:lastModifiedBy>
  <dcterms:modified xsi:type="dcterms:W3CDTF">2020-08-19T09:35:10Z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